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615" w:rsidRPr="001520E5" w:rsidRDefault="001520E5" w:rsidP="001520E5">
      <w:pPr>
        <w:jc w:val="center"/>
        <w:rPr>
          <w:b/>
          <w:sz w:val="30"/>
          <w:szCs w:val="30"/>
        </w:rPr>
      </w:pPr>
      <w:r w:rsidRPr="001520E5">
        <w:rPr>
          <w:b/>
          <w:sz w:val="30"/>
          <w:szCs w:val="30"/>
        </w:rPr>
        <w:t>No Pay FAQ</w:t>
      </w:r>
    </w:p>
    <w:p w:rsidR="001520E5" w:rsidRPr="001520E5" w:rsidRDefault="001520E5">
      <w:pPr>
        <w:rPr>
          <w:b/>
          <w:i/>
        </w:rPr>
      </w:pPr>
      <w:r w:rsidRPr="001520E5">
        <w:rPr>
          <w:b/>
          <w:i/>
        </w:rPr>
        <w:t>How is my No Pay calculated?</w:t>
      </w:r>
    </w:p>
    <w:p w:rsidR="001520E5" w:rsidRPr="001520E5" w:rsidRDefault="001520E5" w:rsidP="001520E5">
      <w:pPr>
        <w:pStyle w:val="ListParagraph"/>
        <w:numPr>
          <w:ilvl w:val="0"/>
          <w:numId w:val="1"/>
        </w:numPr>
        <w:rPr>
          <w:sz w:val="20"/>
          <w:szCs w:val="20"/>
        </w:rPr>
      </w:pPr>
      <w:r w:rsidRPr="001520E5">
        <w:rPr>
          <w:sz w:val="20"/>
          <w:szCs w:val="20"/>
        </w:rPr>
        <w:t xml:space="preserve">The no pay rate is based on the policy effective date; </w:t>
      </w:r>
      <w:r w:rsidRPr="001520E5">
        <w:rPr>
          <w:sz w:val="20"/>
          <w:szCs w:val="20"/>
          <w:u w:val="single"/>
        </w:rPr>
        <w:t>not</w:t>
      </w:r>
      <w:r w:rsidRPr="001520E5">
        <w:rPr>
          <w:sz w:val="20"/>
          <w:szCs w:val="20"/>
        </w:rPr>
        <w:t xml:space="preserve"> when the policy issues and production is credited</w:t>
      </w:r>
    </w:p>
    <w:p w:rsidR="001520E5" w:rsidRPr="001520E5" w:rsidRDefault="001520E5" w:rsidP="001520E5">
      <w:pPr>
        <w:pStyle w:val="ListParagraph"/>
        <w:numPr>
          <w:ilvl w:val="0"/>
          <w:numId w:val="1"/>
        </w:numPr>
        <w:rPr>
          <w:sz w:val="20"/>
          <w:szCs w:val="20"/>
        </w:rPr>
      </w:pPr>
      <w:r w:rsidRPr="001520E5">
        <w:rPr>
          <w:sz w:val="20"/>
          <w:szCs w:val="20"/>
        </w:rPr>
        <w:t>Policies enter the no pay rate calculation 13 weeks after the policy effective date, and become part of a rolling 52 week calculation. A policy with an effective date Week 1 enters the no pay calculation Week 14 and remains in the calculation through Week 13 of the following year; Week 14 of the following year it cycles out of the calculation.</w:t>
      </w:r>
    </w:p>
    <w:p w:rsidR="001520E5" w:rsidRPr="001520E5" w:rsidRDefault="001520E5" w:rsidP="001520E5">
      <w:pPr>
        <w:pStyle w:val="ListParagraph"/>
        <w:numPr>
          <w:ilvl w:val="0"/>
          <w:numId w:val="1"/>
        </w:numPr>
        <w:rPr>
          <w:sz w:val="20"/>
          <w:szCs w:val="20"/>
        </w:rPr>
      </w:pPr>
      <w:r w:rsidRPr="001520E5">
        <w:rPr>
          <w:sz w:val="20"/>
          <w:szCs w:val="20"/>
        </w:rPr>
        <w:t>No pay rate coincides with Aflac’s production weeks; therefore, when there is a hold open week, such as quarter end or a special contest, the policy effective date follows the production week dates.</w:t>
      </w:r>
    </w:p>
    <w:p w:rsidR="001520E5" w:rsidRPr="001520E5" w:rsidRDefault="001520E5" w:rsidP="001520E5">
      <w:pPr>
        <w:pStyle w:val="ListParagraph"/>
        <w:numPr>
          <w:ilvl w:val="0"/>
          <w:numId w:val="1"/>
        </w:numPr>
        <w:rPr>
          <w:sz w:val="20"/>
          <w:szCs w:val="20"/>
        </w:rPr>
      </w:pPr>
      <w:r w:rsidRPr="001520E5">
        <w:rPr>
          <w:sz w:val="20"/>
          <w:szCs w:val="20"/>
        </w:rPr>
        <w:t>Calculate the no pay rate by dividing the number of non-paid policies by the number of total policies in the calculation period. Example: 25.8 non-paid policies divided by 315.3 total policies = 8.18% no pay rate.</w:t>
      </w:r>
    </w:p>
    <w:p w:rsidR="001520E5" w:rsidRPr="001520E5" w:rsidRDefault="001520E5" w:rsidP="001520E5">
      <w:pPr>
        <w:pStyle w:val="ListParagraph"/>
        <w:numPr>
          <w:ilvl w:val="0"/>
          <w:numId w:val="1"/>
        </w:numPr>
        <w:rPr>
          <w:sz w:val="20"/>
          <w:szCs w:val="20"/>
        </w:rPr>
      </w:pPr>
      <w:r w:rsidRPr="001520E5">
        <w:rPr>
          <w:sz w:val="20"/>
          <w:szCs w:val="20"/>
        </w:rPr>
        <w:t>Policies are summed based on the fractional percent credited to the associate and coordinator</w:t>
      </w:r>
    </w:p>
    <w:p w:rsidR="001520E5" w:rsidRPr="001520E5" w:rsidRDefault="001520E5" w:rsidP="001520E5">
      <w:pPr>
        <w:pStyle w:val="ListParagraph"/>
        <w:numPr>
          <w:ilvl w:val="0"/>
          <w:numId w:val="1"/>
        </w:numPr>
        <w:rPr>
          <w:sz w:val="20"/>
          <w:szCs w:val="20"/>
        </w:rPr>
      </w:pPr>
      <w:r w:rsidRPr="001520E5">
        <w:rPr>
          <w:sz w:val="20"/>
          <w:szCs w:val="20"/>
        </w:rPr>
        <w:t xml:space="preserve">The gross annualized premium associated with the policy has </w:t>
      </w:r>
      <w:r w:rsidRPr="001520E5">
        <w:rPr>
          <w:sz w:val="20"/>
          <w:szCs w:val="20"/>
          <w:u w:val="single"/>
        </w:rPr>
        <w:t>no</w:t>
      </w:r>
      <w:r w:rsidRPr="001520E5">
        <w:rPr>
          <w:sz w:val="20"/>
          <w:szCs w:val="20"/>
        </w:rPr>
        <w:t xml:space="preserve"> impact on the no pay rate</w:t>
      </w:r>
    </w:p>
    <w:p w:rsidR="001520E5" w:rsidRPr="001520E5" w:rsidRDefault="001520E5" w:rsidP="001520E5">
      <w:pPr>
        <w:pStyle w:val="ListParagraph"/>
        <w:numPr>
          <w:ilvl w:val="0"/>
          <w:numId w:val="1"/>
        </w:numPr>
        <w:rPr>
          <w:sz w:val="20"/>
          <w:szCs w:val="20"/>
        </w:rPr>
      </w:pPr>
      <w:r w:rsidRPr="001520E5">
        <w:rPr>
          <w:sz w:val="20"/>
          <w:szCs w:val="20"/>
        </w:rPr>
        <w:t>A policy calculating as not paid will change to paid when the full modal premium is applied to the policy</w:t>
      </w:r>
    </w:p>
    <w:p w:rsidR="001520E5" w:rsidRPr="001520E5" w:rsidRDefault="001520E5" w:rsidP="001520E5">
      <w:pPr>
        <w:pStyle w:val="ListParagraph"/>
        <w:numPr>
          <w:ilvl w:val="0"/>
          <w:numId w:val="1"/>
        </w:numPr>
        <w:rPr>
          <w:sz w:val="20"/>
          <w:szCs w:val="20"/>
        </w:rPr>
      </w:pPr>
      <w:r w:rsidRPr="001520E5">
        <w:rPr>
          <w:sz w:val="20"/>
          <w:szCs w:val="20"/>
        </w:rPr>
        <w:t>A policy calculating as paid will change to not paid if the premium is refunded to the policyholder</w:t>
      </w:r>
    </w:p>
    <w:p w:rsidR="001520E5" w:rsidRPr="001520E5" w:rsidRDefault="001520E5" w:rsidP="001520E5">
      <w:pPr>
        <w:pStyle w:val="ListParagraph"/>
        <w:numPr>
          <w:ilvl w:val="0"/>
          <w:numId w:val="1"/>
        </w:numPr>
        <w:rPr>
          <w:sz w:val="20"/>
          <w:szCs w:val="20"/>
        </w:rPr>
      </w:pPr>
      <w:r w:rsidRPr="001520E5">
        <w:rPr>
          <w:sz w:val="20"/>
          <w:szCs w:val="20"/>
        </w:rPr>
        <w:t>If the policy effective date is changed, it will calculate based on the new effective date</w:t>
      </w:r>
    </w:p>
    <w:p w:rsidR="001520E5" w:rsidRDefault="001520E5" w:rsidP="001520E5">
      <w:pPr>
        <w:rPr>
          <w:b/>
          <w:i/>
        </w:rPr>
      </w:pPr>
      <w:r>
        <w:rPr>
          <w:b/>
          <w:i/>
        </w:rPr>
        <w:t>Why is my No Pay detail number red</w:t>
      </w:r>
      <w:r w:rsidRPr="001520E5">
        <w:rPr>
          <w:b/>
          <w:i/>
        </w:rPr>
        <w:t>?</w:t>
      </w:r>
    </w:p>
    <w:p w:rsidR="001520E5" w:rsidRPr="001520E5" w:rsidRDefault="001520E5" w:rsidP="001520E5">
      <w:pPr>
        <w:rPr>
          <w:sz w:val="20"/>
          <w:szCs w:val="20"/>
        </w:rPr>
      </w:pPr>
      <w:r w:rsidRPr="001520E5">
        <w:rPr>
          <w:sz w:val="20"/>
          <w:szCs w:val="20"/>
        </w:rPr>
        <w:t xml:space="preserve">The no pay number will be red for anyone whose </w:t>
      </w:r>
      <w:r w:rsidR="00D20CC1">
        <w:rPr>
          <w:sz w:val="20"/>
          <w:szCs w:val="20"/>
        </w:rPr>
        <w:t>no pay rate is higher than 13</w:t>
      </w:r>
      <w:bookmarkStart w:id="0" w:name="_GoBack"/>
      <w:bookmarkEnd w:id="0"/>
      <w:r w:rsidRPr="001520E5">
        <w:rPr>
          <w:sz w:val="20"/>
          <w:szCs w:val="20"/>
        </w:rPr>
        <w:t>%</w:t>
      </w:r>
    </w:p>
    <w:p w:rsidR="001520E5" w:rsidRDefault="001520E5" w:rsidP="001520E5">
      <w:pPr>
        <w:rPr>
          <w:b/>
          <w:i/>
        </w:rPr>
      </w:pPr>
      <w:proofErr w:type="gramStart"/>
      <w:r>
        <w:rPr>
          <w:b/>
          <w:i/>
        </w:rPr>
        <w:t>Current weeks No Pay details</w:t>
      </w:r>
      <w:r w:rsidRPr="001520E5">
        <w:rPr>
          <w:b/>
          <w:i/>
        </w:rPr>
        <w:t>?</w:t>
      </w:r>
      <w:proofErr w:type="gramEnd"/>
    </w:p>
    <w:p w:rsidR="001520E5" w:rsidRPr="001520E5" w:rsidRDefault="001520E5" w:rsidP="001520E5">
      <w:pPr>
        <w:rPr>
          <w:sz w:val="20"/>
          <w:szCs w:val="20"/>
        </w:rPr>
      </w:pPr>
      <w:r w:rsidRPr="001520E5">
        <w:rPr>
          <w:sz w:val="20"/>
          <w:szCs w:val="20"/>
        </w:rPr>
        <w:t>The current week no pay on the RPM report reflects the rate at the close of the production week. It won’t change until the next production week closes and no pay rate is recalculated.</w:t>
      </w:r>
    </w:p>
    <w:p w:rsidR="001520E5" w:rsidRDefault="001520E5" w:rsidP="001520E5">
      <w:pPr>
        <w:rPr>
          <w:b/>
          <w:i/>
        </w:rPr>
      </w:pPr>
      <w:proofErr w:type="gramStart"/>
      <w:r>
        <w:rPr>
          <w:b/>
          <w:i/>
        </w:rPr>
        <w:t>Previous weeks No Pay details</w:t>
      </w:r>
      <w:r w:rsidRPr="001520E5">
        <w:rPr>
          <w:b/>
          <w:i/>
        </w:rPr>
        <w:t>?</w:t>
      </w:r>
      <w:proofErr w:type="gramEnd"/>
    </w:p>
    <w:p w:rsidR="001520E5" w:rsidRPr="001520E5" w:rsidRDefault="001520E5">
      <w:pPr>
        <w:rPr>
          <w:sz w:val="20"/>
          <w:szCs w:val="20"/>
        </w:rPr>
      </w:pPr>
      <w:r>
        <w:rPr>
          <w:sz w:val="20"/>
          <w:szCs w:val="20"/>
        </w:rPr>
        <w:t xml:space="preserve">Previous week no pay rates are frozen; therefore, if any changes have been made to the policy since Friday night when the week closed, it won’t be reflected in the detail. Examples of changes that impact the no pay rate include: </w:t>
      </w:r>
      <w:r w:rsidR="00660706">
        <w:rPr>
          <w:sz w:val="20"/>
          <w:szCs w:val="20"/>
        </w:rPr>
        <w:t xml:space="preserve">payments applied to the policy, premiums refunded to the policyholder, and a change in the policy effective date after the week closed.  </w:t>
      </w:r>
      <w:r w:rsidRPr="00660706">
        <w:rPr>
          <w:b/>
          <w:sz w:val="20"/>
          <w:szCs w:val="20"/>
        </w:rPr>
        <w:t>Note:</w:t>
      </w:r>
      <w:r>
        <w:rPr>
          <w:sz w:val="20"/>
          <w:szCs w:val="20"/>
        </w:rPr>
        <w:t xml:space="preserve"> Historical no pay will only display on a go forward basis (began Week 33 2011)</w:t>
      </w:r>
    </w:p>
    <w:p w:rsidR="00660706" w:rsidRDefault="00660706" w:rsidP="00660706">
      <w:pPr>
        <w:rPr>
          <w:b/>
          <w:i/>
        </w:rPr>
      </w:pPr>
      <w:r>
        <w:rPr>
          <w:b/>
          <w:i/>
        </w:rPr>
        <w:t>Who should I contact with questions concerning my No Pay rate</w:t>
      </w:r>
      <w:r w:rsidRPr="001520E5">
        <w:rPr>
          <w:b/>
          <w:i/>
        </w:rPr>
        <w:t>?</w:t>
      </w:r>
    </w:p>
    <w:p w:rsidR="001520E5" w:rsidRDefault="00660706">
      <w:pPr>
        <w:rPr>
          <w:sz w:val="20"/>
          <w:szCs w:val="20"/>
        </w:rPr>
      </w:pPr>
      <w:r>
        <w:rPr>
          <w:sz w:val="20"/>
          <w:szCs w:val="20"/>
        </w:rPr>
        <w:t>If you think there is an error on the no pay rate detail, you may send direct inquiries to the Contest Administration Specialist for your territory:</w:t>
      </w:r>
    </w:p>
    <w:tbl>
      <w:tblPr>
        <w:tblStyle w:val="TableGrid"/>
        <w:tblW w:w="0" w:type="auto"/>
        <w:tblLook w:val="04A0" w:firstRow="1" w:lastRow="0" w:firstColumn="1" w:lastColumn="0" w:noHBand="0" w:noVBand="1"/>
      </w:tblPr>
      <w:tblGrid>
        <w:gridCol w:w="3192"/>
        <w:gridCol w:w="3192"/>
        <w:gridCol w:w="3192"/>
      </w:tblGrid>
      <w:tr w:rsidR="00660706" w:rsidTr="00660706">
        <w:tc>
          <w:tcPr>
            <w:tcW w:w="3192" w:type="dxa"/>
          </w:tcPr>
          <w:p w:rsidR="00660706" w:rsidRDefault="00660706">
            <w:pPr>
              <w:rPr>
                <w:sz w:val="20"/>
                <w:szCs w:val="20"/>
              </w:rPr>
            </w:pPr>
            <w:r>
              <w:rPr>
                <w:sz w:val="20"/>
                <w:szCs w:val="20"/>
              </w:rPr>
              <w:t>Central</w:t>
            </w:r>
          </w:p>
        </w:tc>
        <w:tc>
          <w:tcPr>
            <w:tcW w:w="3192" w:type="dxa"/>
          </w:tcPr>
          <w:p w:rsidR="00660706" w:rsidRDefault="00660706">
            <w:pPr>
              <w:rPr>
                <w:sz w:val="20"/>
                <w:szCs w:val="20"/>
              </w:rPr>
            </w:pPr>
            <w:r>
              <w:rPr>
                <w:sz w:val="20"/>
                <w:szCs w:val="20"/>
              </w:rPr>
              <w:t>Sandra Thomas</w:t>
            </w:r>
          </w:p>
        </w:tc>
        <w:tc>
          <w:tcPr>
            <w:tcW w:w="3192" w:type="dxa"/>
          </w:tcPr>
          <w:p w:rsidR="00660706" w:rsidRDefault="00660706">
            <w:pPr>
              <w:rPr>
                <w:sz w:val="20"/>
                <w:szCs w:val="20"/>
              </w:rPr>
            </w:pPr>
            <w:hyperlink r:id="rId6" w:history="1">
              <w:r w:rsidRPr="00B51651">
                <w:rPr>
                  <w:rStyle w:val="Hyperlink"/>
                  <w:sz w:val="20"/>
                  <w:szCs w:val="20"/>
                </w:rPr>
                <w:t>SThomas@aflac.com</w:t>
              </w:r>
            </w:hyperlink>
          </w:p>
        </w:tc>
      </w:tr>
      <w:tr w:rsidR="00660706" w:rsidTr="00660706">
        <w:tc>
          <w:tcPr>
            <w:tcW w:w="3192" w:type="dxa"/>
          </w:tcPr>
          <w:p w:rsidR="00660706" w:rsidRDefault="00660706">
            <w:pPr>
              <w:rPr>
                <w:sz w:val="20"/>
                <w:szCs w:val="20"/>
              </w:rPr>
            </w:pPr>
            <w:r>
              <w:rPr>
                <w:sz w:val="20"/>
                <w:szCs w:val="20"/>
              </w:rPr>
              <w:t>North</w:t>
            </w:r>
          </w:p>
        </w:tc>
        <w:tc>
          <w:tcPr>
            <w:tcW w:w="3192" w:type="dxa"/>
          </w:tcPr>
          <w:p w:rsidR="00660706" w:rsidRDefault="00660706">
            <w:pPr>
              <w:rPr>
                <w:sz w:val="20"/>
                <w:szCs w:val="20"/>
              </w:rPr>
            </w:pPr>
            <w:r>
              <w:rPr>
                <w:sz w:val="20"/>
                <w:szCs w:val="20"/>
              </w:rPr>
              <w:t>Connie Cowall</w:t>
            </w:r>
          </w:p>
        </w:tc>
        <w:tc>
          <w:tcPr>
            <w:tcW w:w="3192" w:type="dxa"/>
          </w:tcPr>
          <w:p w:rsidR="00660706" w:rsidRDefault="00660706">
            <w:pPr>
              <w:rPr>
                <w:sz w:val="20"/>
                <w:szCs w:val="20"/>
              </w:rPr>
            </w:pPr>
            <w:hyperlink r:id="rId7" w:history="1">
              <w:r w:rsidRPr="00B51651">
                <w:rPr>
                  <w:rStyle w:val="Hyperlink"/>
                  <w:sz w:val="20"/>
                  <w:szCs w:val="20"/>
                </w:rPr>
                <w:t>CCowall@aflac.com</w:t>
              </w:r>
            </w:hyperlink>
          </w:p>
        </w:tc>
      </w:tr>
      <w:tr w:rsidR="00660706" w:rsidTr="00660706">
        <w:tc>
          <w:tcPr>
            <w:tcW w:w="3192" w:type="dxa"/>
          </w:tcPr>
          <w:p w:rsidR="00660706" w:rsidRDefault="00660706">
            <w:pPr>
              <w:rPr>
                <w:sz w:val="20"/>
                <w:szCs w:val="20"/>
              </w:rPr>
            </w:pPr>
            <w:r>
              <w:rPr>
                <w:sz w:val="20"/>
                <w:szCs w:val="20"/>
              </w:rPr>
              <w:t>Northeast</w:t>
            </w:r>
          </w:p>
        </w:tc>
        <w:tc>
          <w:tcPr>
            <w:tcW w:w="3192" w:type="dxa"/>
          </w:tcPr>
          <w:p w:rsidR="00660706" w:rsidRDefault="00660706">
            <w:pPr>
              <w:rPr>
                <w:sz w:val="20"/>
                <w:szCs w:val="20"/>
              </w:rPr>
            </w:pPr>
            <w:r>
              <w:rPr>
                <w:sz w:val="20"/>
                <w:szCs w:val="20"/>
              </w:rPr>
              <w:t>Heather Pearson</w:t>
            </w:r>
          </w:p>
        </w:tc>
        <w:tc>
          <w:tcPr>
            <w:tcW w:w="3192" w:type="dxa"/>
          </w:tcPr>
          <w:p w:rsidR="00660706" w:rsidRDefault="00660706">
            <w:pPr>
              <w:rPr>
                <w:sz w:val="20"/>
                <w:szCs w:val="20"/>
              </w:rPr>
            </w:pPr>
            <w:hyperlink r:id="rId8" w:history="1">
              <w:r w:rsidRPr="00B51651">
                <w:rPr>
                  <w:rStyle w:val="Hyperlink"/>
                  <w:sz w:val="20"/>
                  <w:szCs w:val="20"/>
                </w:rPr>
                <w:t>HPearson@aflac.com</w:t>
              </w:r>
            </w:hyperlink>
          </w:p>
        </w:tc>
      </w:tr>
      <w:tr w:rsidR="00660706" w:rsidTr="00660706">
        <w:tc>
          <w:tcPr>
            <w:tcW w:w="3192" w:type="dxa"/>
          </w:tcPr>
          <w:p w:rsidR="00660706" w:rsidRDefault="00660706">
            <w:pPr>
              <w:rPr>
                <w:sz w:val="20"/>
                <w:szCs w:val="20"/>
              </w:rPr>
            </w:pPr>
            <w:r>
              <w:rPr>
                <w:sz w:val="20"/>
                <w:szCs w:val="20"/>
              </w:rPr>
              <w:t>Southeast</w:t>
            </w:r>
          </w:p>
        </w:tc>
        <w:tc>
          <w:tcPr>
            <w:tcW w:w="3192" w:type="dxa"/>
          </w:tcPr>
          <w:p w:rsidR="00660706" w:rsidRDefault="00660706">
            <w:pPr>
              <w:rPr>
                <w:sz w:val="20"/>
                <w:szCs w:val="20"/>
              </w:rPr>
            </w:pPr>
            <w:r>
              <w:rPr>
                <w:sz w:val="20"/>
                <w:szCs w:val="20"/>
              </w:rPr>
              <w:t>Edie Barber</w:t>
            </w:r>
          </w:p>
        </w:tc>
        <w:tc>
          <w:tcPr>
            <w:tcW w:w="3192" w:type="dxa"/>
          </w:tcPr>
          <w:p w:rsidR="00660706" w:rsidRDefault="00660706">
            <w:pPr>
              <w:rPr>
                <w:sz w:val="20"/>
                <w:szCs w:val="20"/>
              </w:rPr>
            </w:pPr>
            <w:hyperlink r:id="rId9" w:history="1">
              <w:r w:rsidRPr="00B51651">
                <w:rPr>
                  <w:rStyle w:val="Hyperlink"/>
                  <w:sz w:val="20"/>
                  <w:szCs w:val="20"/>
                </w:rPr>
                <w:t>EBarber@aflac.com</w:t>
              </w:r>
            </w:hyperlink>
          </w:p>
        </w:tc>
      </w:tr>
      <w:tr w:rsidR="00660706" w:rsidTr="00660706">
        <w:tc>
          <w:tcPr>
            <w:tcW w:w="3192" w:type="dxa"/>
          </w:tcPr>
          <w:p w:rsidR="00660706" w:rsidRDefault="00660706">
            <w:pPr>
              <w:rPr>
                <w:sz w:val="20"/>
                <w:szCs w:val="20"/>
              </w:rPr>
            </w:pPr>
            <w:r>
              <w:rPr>
                <w:sz w:val="20"/>
                <w:szCs w:val="20"/>
              </w:rPr>
              <w:t>West</w:t>
            </w:r>
          </w:p>
        </w:tc>
        <w:tc>
          <w:tcPr>
            <w:tcW w:w="3192" w:type="dxa"/>
          </w:tcPr>
          <w:p w:rsidR="00660706" w:rsidRDefault="00660706">
            <w:pPr>
              <w:rPr>
                <w:sz w:val="20"/>
                <w:szCs w:val="20"/>
              </w:rPr>
            </w:pPr>
            <w:r>
              <w:rPr>
                <w:sz w:val="20"/>
                <w:szCs w:val="20"/>
              </w:rPr>
              <w:t>Brigitte Martin</w:t>
            </w:r>
          </w:p>
        </w:tc>
        <w:tc>
          <w:tcPr>
            <w:tcW w:w="3192" w:type="dxa"/>
          </w:tcPr>
          <w:p w:rsidR="00660706" w:rsidRDefault="00660706">
            <w:pPr>
              <w:rPr>
                <w:sz w:val="20"/>
                <w:szCs w:val="20"/>
              </w:rPr>
            </w:pPr>
            <w:hyperlink r:id="rId10" w:history="1">
              <w:r w:rsidRPr="00B51651">
                <w:rPr>
                  <w:rStyle w:val="Hyperlink"/>
                  <w:sz w:val="20"/>
                  <w:szCs w:val="20"/>
                </w:rPr>
                <w:t>BMartin@aflac.com</w:t>
              </w:r>
            </w:hyperlink>
          </w:p>
        </w:tc>
      </w:tr>
    </w:tbl>
    <w:p w:rsidR="00660706" w:rsidRPr="00660706" w:rsidRDefault="00660706">
      <w:pPr>
        <w:rPr>
          <w:sz w:val="20"/>
          <w:szCs w:val="20"/>
        </w:rPr>
      </w:pPr>
    </w:p>
    <w:sectPr w:rsidR="00660706" w:rsidRPr="00660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048D4"/>
    <w:multiLevelType w:val="hybridMultilevel"/>
    <w:tmpl w:val="87AC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E5"/>
    <w:rsid w:val="001520E5"/>
    <w:rsid w:val="00660706"/>
    <w:rsid w:val="00A92615"/>
    <w:rsid w:val="00D2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E5"/>
    <w:pPr>
      <w:ind w:left="720"/>
      <w:contextualSpacing/>
    </w:pPr>
  </w:style>
  <w:style w:type="table" w:styleId="TableGrid">
    <w:name w:val="Table Grid"/>
    <w:basedOn w:val="TableNormal"/>
    <w:uiPriority w:val="59"/>
    <w:rsid w:val="0066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7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E5"/>
    <w:pPr>
      <w:ind w:left="720"/>
      <w:contextualSpacing/>
    </w:pPr>
  </w:style>
  <w:style w:type="table" w:styleId="TableGrid">
    <w:name w:val="Table Grid"/>
    <w:basedOn w:val="TableNormal"/>
    <w:uiPriority w:val="59"/>
    <w:rsid w:val="00660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07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earson@aflac.com" TargetMode="External"/><Relationship Id="rId3" Type="http://schemas.microsoft.com/office/2007/relationships/stylesWithEffects" Target="stylesWithEffects.xml"/><Relationship Id="rId7" Type="http://schemas.openxmlformats.org/officeDocument/2006/relationships/hyperlink" Target="mailto:CCowall@afl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homas@aflac.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Martin@aflac.com" TargetMode="External"/><Relationship Id="rId4" Type="http://schemas.openxmlformats.org/officeDocument/2006/relationships/settings" Target="settings.xml"/><Relationship Id="rId9" Type="http://schemas.openxmlformats.org/officeDocument/2006/relationships/hyperlink" Target="mailto:EBarber@afl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Vogt</dc:creator>
  <cp:lastModifiedBy>Bethany Vogt</cp:lastModifiedBy>
  <cp:revision>2</cp:revision>
  <dcterms:created xsi:type="dcterms:W3CDTF">2015-10-07T13:02:00Z</dcterms:created>
  <dcterms:modified xsi:type="dcterms:W3CDTF">2015-10-07T13:36:00Z</dcterms:modified>
</cp:coreProperties>
</file>